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3" w:rsidRDefault="006E7CD3" w:rsidP="005B1FFB">
      <w:pPr>
        <w:adjustRightInd w:val="0"/>
        <w:snapToGrid w:val="0"/>
        <w:spacing w:after="0"/>
        <w:rPr>
          <w:lang w:eastAsia="zh-CN"/>
        </w:rPr>
      </w:pPr>
      <w:r>
        <w:rPr>
          <w:rFonts w:hint="eastAsia"/>
          <w:lang w:eastAsia="zh-CN"/>
        </w:rPr>
        <w:t>附件1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3969"/>
        <w:gridCol w:w="2410"/>
      </w:tblGrid>
      <w:tr w:rsidR="006E7CD3" w:rsidRPr="009226CC" w:rsidTr="006E7CD3">
        <w:trPr>
          <w:trHeight w:val="78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D3" w:rsidRPr="00AA5FBC" w:rsidRDefault="006E7CD3" w:rsidP="005B1FFB">
            <w:pPr>
              <w:adjustRightInd w:val="0"/>
              <w:snapToGrid w:val="0"/>
              <w:spacing w:after="0"/>
              <w:jc w:val="center"/>
              <w:rPr>
                <w:rFonts w:ascii="黑体" w:eastAsia="黑体" w:hAnsi="黑体"/>
                <w:sz w:val="36"/>
                <w:lang w:eastAsia="zh-CN"/>
              </w:rPr>
            </w:pPr>
            <w:bookmarkStart w:id="0" w:name="_GoBack"/>
            <w:r w:rsidRPr="00AA5FBC">
              <w:rPr>
                <w:rFonts w:ascii="黑体" w:eastAsia="黑体" w:hAnsi="黑体" w:hint="eastAsia"/>
                <w:sz w:val="36"/>
                <w:lang w:eastAsia="zh-CN"/>
              </w:rPr>
              <w:t>财务分析指标</w:t>
            </w:r>
            <w:bookmarkEnd w:id="0"/>
          </w:p>
        </w:tc>
      </w:tr>
      <w:tr w:rsidR="006E7CD3" w:rsidRPr="006E7CD3" w:rsidTr="006E7CD3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7CD3" w:rsidRPr="006E7CD3" w:rsidTr="006E7CD3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lang w:eastAsia="zh-CN"/>
              </w:rPr>
              <w:t>指标名称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lang w:eastAsia="zh-CN"/>
              </w:rPr>
              <w:t>计算公式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lang w:eastAsia="zh-CN"/>
              </w:rPr>
              <w:t>反映内容</w:t>
            </w:r>
          </w:p>
        </w:tc>
      </w:tr>
      <w:tr w:rsidR="006E7CD3" w:rsidRPr="006E7CD3" w:rsidTr="006E7CD3">
        <w:trPr>
          <w:trHeight w:val="6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lang w:eastAsia="zh-CN"/>
              </w:rPr>
              <w:t>一、预算管理指标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（一）预算执行率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预算收入执行率=本期实际收入总额/本期预算收入总额×l00%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反映高校预算管理水平。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预算支出执行率=本期实际支出总额/本期预算支出总额×l00%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（二）财政专项拨款执行率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财政专项拨款执行率=本期财政项目补助实际支出/本期财政项目支出补助收入×l00%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反映高校财政项目补助支出执行进度。</w:t>
            </w:r>
          </w:p>
        </w:tc>
      </w:tr>
      <w:tr w:rsidR="006E7CD3" w:rsidRPr="006E7CD3" w:rsidTr="006E7CD3">
        <w:trPr>
          <w:trHeight w:val="6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lang w:eastAsia="zh-CN"/>
              </w:rPr>
              <w:t>二、财务风险管理指标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（一）资产负债率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资产负债率=负债总额/资产总额×100%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反映高校的资产中债款筹资的比重。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（二）流动比率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流动比率=流动资产/流动负债×100%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反映高校的短期偿债能力。</w:t>
            </w:r>
          </w:p>
        </w:tc>
      </w:tr>
      <w:tr w:rsidR="006E7CD3" w:rsidRPr="006E7CD3" w:rsidTr="006E7CD3">
        <w:trPr>
          <w:trHeight w:val="64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0</wp:posOffset>
                  </wp:positionV>
                  <wp:extent cx="38100" cy="219075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E7CD3" w:rsidRPr="006E7CD3">
              <w:trPr>
                <w:trHeight w:val="645"/>
                <w:tblCellSpacing w:w="0" w:type="dxa"/>
              </w:trPr>
              <w:tc>
                <w:tcPr>
                  <w:tcW w:w="17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7CD3" w:rsidRPr="006E7CD3" w:rsidRDefault="006E7CD3" w:rsidP="005B1FFB">
                  <w:pPr>
                    <w:widowControl/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/>
                      <w:bCs/>
                      <w:lang w:eastAsia="zh-CN"/>
                    </w:rPr>
                  </w:pPr>
                  <w:r w:rsidRPr="006E7CD3">
                    <w:rPr>
                      <w:rFonts w:ascii="宋体" w:eastAsia="宋体" w:hAnsi="宋体" w:cs="宋体" w:hint="eastAsia"/>
                      <w:b/>
                      <w:bCs/>
                      <w:lang w:eastAsia="zh-CN"/>
                    </w:rPr>
                    <w:t>三、支出结构指标</w:t>
                  </w:r>
                </w:p>
              </w:tc>
            </w:tr>
          </w:tbl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（一）人员支出比率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人员支出比率=人员支出/事业支出×100%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反映高校人员支出结构。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（二）公用支出比率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公用支出比率=公用支出/事业支出×100%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反映高校公用支出结构。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（三）人均基本支出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人均基本支出=（基本支出-离退休人员支出）/实际在编人数×100%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反映高校按照实际在编人数平均的基本支出水平。</w:t>
            </w:r>
          </w:p>
        </w:tc>
      </w:tr>
      <w:tr w:rsidR="006E7CD3" w:rsidRPr="006E7CD3" w:rsidTr="006E7CD3">
        <w:trPr>
          <w:trHeight w:val="64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0</wp:posOffset>
                  </wp:positionV>
                  <wp:extent cx="38100" cy="0"/>
                  <wp:effectExtent l="0" t="0" r="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E7CD3" w:rsidRPr="006E7CD3">
              <w:trPr>
                <w:trHeight w:val="645"/>
                <w:tblCellSpacing w:w="0" w:type="dxa"/>
              </w:trPr>
              <w:tc>
                <w:tcPr>
                  <w:tcW w:w="17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7CD3" w:rsidRPr="006E7CD3" w:rsidRDefault="006E7CD3" w:rsidP="005B1FFB">
                  <w:pPr>
                    <w:widowControl/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/>
                      <w:bCs/>
                      <w:lang w:eastAsia="zh-CN"/>
                    </w:rPr>
                  </w:pPr>
                  <w:r w:rsidRPr="006E7CD3">
                    <w:rPr>
                      <w:rFonts w:ascii="宋体" w:eastAsia="宋体" w:hAnsi="宋体" w:cs="宋体" w:hint="eastAsia"/>
                      <w:b/>
                      <w:bCs/>
                      <w:lang w:eastAsia="zh-CN"/>
                    </w:rPr>
                    <w:t>四、财务发展能力指标</w:t>
                  </w:r>
                </w:p>
              </w:tc>
            </w:tr>
          </w:tbl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（一）总资产增长率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总资产增长率=(期末总资产-期初总资产)/期初总资产×100%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从资产总量方面反映高校的发展能力。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（二）净资产增长率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净资产增长率=(期末净资产-期初净资产)/期初净资产×100%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反映高校净资产的增值情况和发展潜力。</w:t>
            </w:r>
          </w:p>
        </w:tc>
      </w:tr>
      <w:tr w:rsidR="006E7CD3" w:rsidRPr="006E7CD3" w:rsidTr="006E7CD3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（三）固定资产净值率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固定资产净值率＝固定资产净值/固定资产原值×l00%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D3" w:rsidRPr="006E7CD3" w:rsidRDefault="006E7CD3" w:rsidP="005B1FFB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lang w:eastAsia="zh-CN"/>
              </w:rPr>
              <w:t>反映高校固定资产的新旧程度。</w:t>
            </w:r>
          </w:p>
        </w:tc>
      </w:tr>
    </w:tbl>
    <w:p w:rsidR="006E7CD3" w:rsidRDefault="006E7CD3" w:rsidP="005B1FFB">
      <w:pPr>
        <w:adjustRightInd w:val="0"/>
        <w:snapToGrid w:val="0"/>
        <w:spacing w:after="0"/>
        <w:rPr>
          <w:lang w:eastAsia="zh-CN"/>
        </w:rPr>
      </w:pPr>
    </w:p>
    <w:p w:rsidR="006E7CD3" w:rsidRDefault="006E7CD3" w:rsidP="005B1FFB">
      <w:pPr>
        <w:widowControl/>
        <w:adjustRightInd w:val="0"/>
        <w:snapToGrid w:val="0"/>
        <w:spacing w:after="0" w:line="240" w:lineRule="auto"/>
        <w:rPr>
          <w:lang w:eastAsia="zh-CN"/>
        </w:rPr>
      </w:pPr>
    </w:p>
    <w:sectPr w:rsidR="006E7CD3" w:rsidSect="007C02C0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2E" w:rsidRDefault="00D7352E" w:rsidP="006E7CD3">
      <w:pPr>
        <w:spacing w:after="0" w:line="240" w:lineRule="auto"/>
      </w:pPr>
      <w:r>
        <w:separator/>
      </w:r>
    </w:p>
  </w:endnote>
  <w:endnote w:type="continuationSeparator" w:id="0">
    <w:p w:rsidR="00D7352E" w:rsidRDefault="00D7352E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2E" w:rsidRDefault="00D7352E" w:rsidP="006E7CD3">
      <w:pPr>
        <w:spacing w:after="0" w:line="240" w:lineRule="auto"/>
      </w:pPr>
      <w:r>
        <w:separator/>
      </w:r>
    </w:p>
  </w:footnote>
  <w:footnote w:type="continuationSeparator" w:id="0">
    <w:p w:rsidR="00D7352E" w:rsidRDefault="00D7352E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6D06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5657"/>
    <w:rsid w:val="004F718F"/>
    <w:rsid w:val="00512C0D"/>
    <w:rsid w:val="0051551A"/>
    <w:rsid w:val="00516FD3"/>
    <w:rsid w:val="005302E6"/>
    <w:rsid w:val="00532EF6"/>
    <w:rsid w:val="005622E7"/>
    <w:rsid w:val="005749E6"/>
    <w:rsid w:val="00581FD2"/>
    <w:rsid w:val="005B1FFB"/>
    <w:rsid w:val="005F78A7"/>
    <w:rsid w:val="00605C0D"/>
    <w:rsid w:val="00617DCD"/>
    <w:rsid w:val="00632748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6F4FF7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26512"/>
    <w:rsid w:val="00A56184"/>
    <w:rsid w:val="00A662C6"/>
    <w:rsid w:val="00AA5FBC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232F1"/>
    <w:rsid w:val="00D31EC8"/>
    <w:rsid w:val="00D537E1"/>
    <w:rsid w:val="00D55A88"/>
    <w:rsid w:val="00D60D1E"/>
    <w:rsid w:val="00D665EB"/>
    <w:rsid w:val="00D6738E"/>
    <w:rsid w:val="00D70681"/>
    <w:rsid w:val="00D7352E"/>
    <w:rsid w:val="00DC50FF"/>
    <w:rsid w:val="00DE1130"/>
    <w:rsid w:val="00DF3F05"/>
    <w:rsid w:val="00E117F0"/>
    <w:rsid w:val="00E45339"/>
    <w:rsid w:val="00E4620C"/>
    <w:rsid w:val="00E5357D"/>
    <w:rsid w:val="00E732F9"/>
    <w:rsid w:val="00E86D12"/>
    <w:rsid w:val="00EA0D33"/>
    <w:rsid w:val="00EF5DA8"/>
    <w:rsid w:val="00F3541A"/>
    <w:rsid w:val="00F63C10"/>
    <w:rsid w:val="00F924E1"/>
    <w:rsid w:val="00FC3D12"/>
    <w:rsid w:val="00FD50FC"/>
    <w:rsid w:val="00FE02FE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1F49-D049-4DA0-9D6F-199274C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155</cp:revision>
  <cp:lastPrinted>2018-11-10T04:59:00Z</cp:lastPrinted>
  <dcterms:created xsi:type="dcterms:W3CDTF">2018-10-17T05:24:00Z</dcterms:created>
  <dcterms:modified xsi:type="dcterms:W3CDTF">2018-11-10T07:23:00Z</dcterms:modified>
</cp:coreProperties>
</file>